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914D" w14:textId="77777777" w:rsidR="00B24861" w:rsidRDefault="00B24861" w:rsidP="00B24861">
      <w:pPr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</w:rPr>
        <w:tab/>
        <w:t>BP 6164.2</w:t>
      </w:r>
    </w:p>
    <w:p w14:paraId="7406086B" w14:textId="77777777" w:rsidR="00B24861" w:rsidRDefault="00B24861" w:rsidP="00B24861">
      <w:pPr>
        <w:rPr>
          <w:rFonts w:eastAsia="MS Mincho"/>
        </w:rPr>
      </w:pPr>
    </w:p>
    <w:p w14:paraId="267DDBB9" w14:textId="77777777" w:rsidR="00B24861" w:rsidRDefault="00B24861" w:rsidP="00B24861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CAREER GUIDANCE SERVICES</w:t>
      </w:r>
    </w:p>
    <w:p w14:paraId="0180B8B3" w14:textId="77777777" w:rsidR="00B24861" w:rsidRDefault="00B24861" w:rsidP="00B24861">
      <w:pPr>
        <w:rPr>
          <w:rFonts w:eastAsia="MS Mincho"/>
        </w:rPr>
      </w:pPr>
    </w:p>
    <w:p w14:paraId="423A52F7" w14:textId="32A081B8" w:rsidR="00B24861" w:rsidRDefault="00B24861" w:rsidP="00B24861">
      <w:pPr>
        <w:rPr>
          <w:rFonts w:eastAsia="MS Mincho"/>
        </w:rPr>
      </w:pPr>
      <w:r>
        <w:rPr>
          <w:rFonts w:eastAsia="MS Mincho"/>
        </w:rPr>
        <w:t xml:space="preserve">The Governing Board recognizes that a comprehensive career guidance program can help promote academic achievement and serve the diverse needs of all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 xml:space="preserve"> students.  Career guidance staff shall be available to meet with students to discuss career-related options, </w:t>
      </w:r>
      <w:proofErr w:type="gramStart"/>
      <w:r>
        <w:rPr>
          <w:rFonts w:eastAsia="MS Mincho"/>
        </w:rPr>
        <w:t>plans for the future</w:t>
      </w:r>
      <w:proofErr w:type="gramEnd"/>
      <w:r>
        <w:rPr>
          <w:rFonts w:eastAsia="MS Mincho"/>
        </w:rPr>
        <w:t>, and become aware of their career potential.</w:t>
      </w:r>
    </w:p>
    <w:p w14:paraId="528DA074" w14:textId="77777777" w:rsidR="00B24861" w:rsidRDefault="00B24861" w:rsidP="00B24861">
      <w:pPr>
        <w:rPr>
          <w:rFonts w:eastAsia="MS Mincho"/>
        </w:rPr>
      </w:pPr>
    </w:p>
    <w:p w14:paraId="41F51776" w14:textId="77777777" w:rsidR="00B24861" w:rsidRDefault="00B24861" w:rsidP="00B2486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Legal Reference:</w:t>
      </w:r>
    </w:p>
    <w:p w14:paraId="7291DDDC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60F93283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221.5  Prohibited</w:t>
      </w:r>
      <w:proofErr w:type="gramEnd"/>
      <w:r>
        <w:rPr>
          <w:rFonts w:eastAsia="MS Mincho"/>
          <w:i/>
          <w:sz w:val="20"/>
        </w:rPr>
        <w:t xml:space="preserve"> sex discrimination</w:t>
      </w:r>
    </w:p>
    <w:p w14:paraId="5313B384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41505-</w:t>
      </w:r>
      <w:proofErr w:type="gramStart"/>
      <w:r>
        <w:rPr>
          <w:rFonts w:eastAsia="MS Mincho"/>
          <w:i/>
          <w:sz w:val="20"/>
        </w:rPr>
        <w:t>41508  Pupil</w:t>
      </w:r>
      <w:proofErr w:type="gramEnd"/>
      <w:r>
        <w:rPr>
          <w:rFonts w:eastAsia="MS Mincho"/>
          <w:i/>
          <w:sz w:val="20"/>
        </w:rPr>
        <w:t xml:space="preserve"> Retention Block Grant</w:t>
      </w:r>
    </w:p>
    <w:p w14:paraId="35DAA652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48431  Establishing</w:t>
      </w:r>
      <w:proofErr w:type="gramEnd"/>
      <w:r>
        <w:rPr>
          <w:rFonts w:eastAsia="MS Mincho"/>
          <w:i/>
          <w:sz w:val="20"/>
        </w:rPr>
        <w:t xml:space="preserve"> and maintaining high school guidance and placement  program</w:t>
      </w:r>
    </w:p>
    <w:p w14:paraId="202B69B0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49600-</w:t>
      </w:r>
      <w:proofErr w:type="gramStart"/>
      <w:r>
        <w:rPr>
          <w:rFonts w:eastAsia="MS Mincho"/>
          <w:i/>
          <w:sz w:val="20"/>
        </w:rPr>
        <w:t>49604  Educational</w:t>
      </w:r>
      <w:proofErr w:type="gramEnd"/>
      <w:r>
        <w:rPr>
          <w:rFonts w:eastAsia="MS Mincho"/>
          <w:i/>
          <w:sz w:val="20"/>
        </w:rPr>
        <w:t xml:space="preserve"> counseling</w:t>
      </w:r>
    </w:p>
    <w:p w14:paraId="3C824CDF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51250  School</w:t>
      </w:r>
      <w:proofErr w:type="gramEnd"/>
      <w:r>
        <w:rPr>
          <w:rFonts w:eastAsia="MS Mincho"/>
          <w:i/>
          <w:sz w:val="20"/>
        </w:rPr>
        <w:t xml:space="preserve"> age military dependents</w:t>
      </w:r>
    </w:p>
    <w:p w14:paraId="6DCBC8DF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51513  Personal</w:t>
      </w:r>
      <w:proofErr w:type="gramEnd"/>
      <w:r>
        <w:rPr>
          <w:rFonts w:eastAsia="MS Mincho"/>
          <w:i/>
          <w:sz w:val="20"/>
        </w:rPr>
        <w:t xml:space="preserve"> beliefs</w:t>
      </w:r>
    </w:p>
    <w:p w14:paraId="3DE60640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52378-</w:t>
      </w:r>
      <w:proofErr w:type="gramStart"/>
      <w:r>
        <w:rPr>
          <w:rFonts w:eastAsia="MS Mincho"/>
          <w:i/>
          <w:sz w:val="20"/>
        </w:rPr>
        <w:t>52380  Supplemental</w:t>
      </w:r>
      <w:proofErr w:type="gramEnd"/>
      <w:r>
        <w:rPr>
          <w:rFonts w:eastAsia="MS Mincho"/>
          <w:i/>
          <w:sz w:val="20"/>
        </w:rPr>
        <w:t xml:space="preserve"> School Counseling Program</w:t>
      </w:r>
    </w:p>
    <w:p w14:paraId="3C8AAD2D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REPEALED EDUCATION CODE FOR CATEGORICAL PROGRAMS</w:t>
      </w:r>
    </w:p>
    <w:p w14:paraId="2F226EB7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48431.6  Tenth</w:t>
      </w:r>
      <w:proofErr w:type="gramEnd"/>
      <w:r>
        <w:rPr>
          <w:rFonts w:eastAsia="MS Mincho"/>
          <w:i/>
          <w:sz w:val="20"/>
        </w:rPr>
        <w:t xml:space="preserve"> grade counseling program</w:t>
      </w:r>
    </w:p>
    <w:p w14:paraId="56FE3460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PENAL CODE</w:t>
      </w:r>
    </w:p>
    <w:p w14:paraId="712C352B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11166-</w:t>
      </w:r>
      <w:proofErr w:type="gramStart"/>
      <w:r>
        <w:rPr>
          <w:rFonts w:eastAsia="MS Mincho"/>
          <w:i/>
          <w:sz w:val="20"/>
        </w:rPr>
        <w:t>11170  Reporting</w:t>
      </w:r>
      <w:proofErr w:type="gramEnd"/>
      <w:r>
        <w:rPr>
          <w:rFonts w:eastAsia="MS Mincho"/>
          <w:i/>
          <w:sz w:val="20"/>
        </w:rPr>
        <w:t xml:space="preserve"> known or suspected cases of child abuse</w:t>
      </w:r>
    </w:p>
    <w:p w14:paraId="48009AD9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5A4143C8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4930-</w:t>
      </w:r>
      <w:proofErr w:type="gramStart"/>
      <w:r>
        <w:rPr>
          <w:rFonts w:eastAsia="MS Mincho"/>
          <w:i/>
          <w:sz w:val="20"/>
        </w:rPr>
        <w:t>4931  Counseling</w:t>
      </w:r>
      <w:proofErr w:type="gramEnd"/>
    </w:p>
    <w:p w14:paraId="14D23E67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10</w:t>
      </w:r>
    </w:p>
    <w:p w14:paraId="60B0BABA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503  Military</w:t>
      </w:r>
      <w:proofErr w:type="gramEnd"/>
      <w:r>
        <w:rPr>
          <w:rFonts w:eastAsia="MS Mincho"/>
          <w:i/>
          <w:sz w:val="20"/>
        </w:rPr>
        <w:t xml:space="preserve"> recruiter access to directory information</w:t>
      </w:r>
    </w:p>
    <w:p w14:paraId="76F84C15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20</w:t>
      </w:r>
    </w:p>
    <w:p w14:paraId="2E8BABA7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1232</w:t>
      </w:r>
      <w:proofErr w:type="gramStart"/>
      <w:r>
        <w:rPr>
          <w:rFonts w:eastAsia="MS Mincho"/>
          <w:i/>
          <w:sz w:val="20"/>
        </w:rPr>
        <w:t>g  Family</w:t>
      </w:r>
      <w:proofErr w:type="gramEnd"/>
      <w:r>
        <w:rPr>
          <w:rFonts w:eastAsia="MS Mincho"/>
          <w:i/>
          <w:sz w:val="20"/>
        </w:rPr>
        <w:t xml:space="preserve"> Educational Rights and Privacy Act</w:t>
      </w:r>
    </w:p>
    <w:p w14:paraId="3F450068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7908  Armed</w:t>
      </w:r>
      <w:proofErr w:type="gramEnd"/>
      <w:r>
        <w:rPr>
          <w:rFonts w:eastAsia="MS Mincho"/>
          <w:i/>
          <w:sz w:val="20"/>
        </w:rPr>
        <w:t xml:space="preserve"> forces recruiter access to students and student recruiting information</w:t>
      </w:r>
    </w:p>
    <w:p w14:paraId="552D6E58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FEDERAL REGULATIONS, TITLE 34</w:t>
      </w:r>
    </w:p>
    <w:p w14:paraId="4AEF1AA2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99.1-99.</w:t>
      </w:r>
      <w:proofErr w:type="gramStart"/>
      <w:r>
        <w:rPr>
          <w:rFonts w:eastAsia="MS Mincho"/>
          <w:i/>
          <w:sz w:val="20"/>
        </w:rPr>
        <w:t>67  Family</w:t>
      </w:r>
      <w:proofErr w:type="gramEnd"/>
      <w:r>
        <w:rPr>
          <w:rFonts w:eastAsia="MS Mincho"/>
          <w:i/>
          <w:sz w:val="20"/>
        </w:rPr>
        <w:t xml:space="preserve"> educational rights and privacy</w:t>
      </w:r>
    </w:p>
    <w:p w14:paraId="3B404E42" w14:textId="77777777" w:rsidR="00B24861" w:rsidRDefault="00B24861" w:rsidP="00B2486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Management Resources:</w:t>
      </w:r>
    </w:p>
    <w:p w14:paraId="2D071B3C" w14:textId="77777777" w:rsidR="00B24861" w:rsidRDefault="00B24861" w:rsidP="00B24861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04AC9DCC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</w:rPr>
            <w:t>American</w:t>
          </w:r>
        </w:smartTag>
        <w:r>
          <w:rPr>
            <w:rFonts w:eastAsia="MS Mincho"/>
            <w:i/>
            <w:sz w:val="20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</w:rPr>
            <w:t>School</w:t>
          </w:r>
        </w:smartTag>
      </w:smartTag>
      <w:r>
        <w:rPr>
          <w:rFonts w:eastAsia="MS Mincho"/>
          <w:i/>
          <w:sz w:val="20"/>
        </w:rPr>
        <w:t xml:space="preserve"> Counseling Association: </w:t>
      </w:r>
      <w:hyperlink r:id="rId4" w:history="1">
        <w:r>
          <w:rPr>
            <w:rStyle w:val="Hyperlink"/>
            <w:rFonts w:eastAsia="MS Mincho"/>
            <w:i/>
            <w:color w:val="auto"/>
            <w:sz w:val="20"/>
          </w:rPr>
          <w:t>http://www.schoolcounselor.org</w:t>
        </w:r>
      </w:hyperlink>
    </w:p>
    <w:p w14:paraId="6D2E5C25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eastAsia="MS Mincho"/>
              <w:i/>
              <w:sz w:val="20"/>
            </w:rPr>
            <w:t>California</w:t>
          </w:r>
        </w:smartTag>
      </w:smartTag>
      <w:r>
        <w:rPr>
          <w:rFonts w:eastAsia="MS Mincho"/>
          <w:i/>
          <w:sz w:val="20"/>
        </w:rPr>
        <w:t xml:space="preserve"> Association of School Counselors:  http://www.schoolcounselor-ca.org</w:t>
      </w:r>
    </w:p>
    <w:p w14:paraId="2691EAC2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California Department of Education:  http://www.cde.ca.gov</w:t>
      </w:r>
    </w:p>
    <w:p w14:paraId="46E7DCEF" w14:textId="77777777" w:rsidR="00B24861" w:rsidRDefault="00B24861" w:rsidP="00B24861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U.S. Department of Education, Access to military recruiters: http://www.ed.gov/policy/gen/guid/fpco/hottopics/ht10-09-02.html</w:t>
      </w:r>
    </w:p>
    <w:p w14:paraId="4813891A" w14:textId="77777777" w:rsidR="00B24861" w:rsidRDefault="00B24861" w:rsidP="00B24861">
      <w:pPr>
        <w:jc w:val="left"/>
        <w:rPr>
          <w:rFonts w:eastAsia="MS Mincho"/>
          <w:i/>
        </w:rPr>
      </w:pPr>
    </w:p>
    <w:p w14:paraId="307F80D7" w14:textId="77777777" w:rsidR="00B24861" w:rsidRDefault="00B24861" w:rsidP="00B24861">
      <w:pPr>
        <w:jc w:val="left"/>
        <w:rPr>
          <w:rFonts w:eastAsia="MS Mincho"/>
          <w:i/>
        </w:rPr>
      </w:pPr>
    </w:p>
    <w:p w14:paraId="50C9A595" w14:textId="77777777" w:rsidR="00B24861" w:rsidRDefault="00B24861" w:rsidP="00B24861">
      <w:pPr>
        <w:jc w:val="left"/>
        <w:rPr>
          <w:rFonts w:eastAsia="MS Mincho"/>
          <w:i/>
        </w:rPr>
      </w:pPr>
    </w:p>
    <w:p w14:paraId="548A9EAA" w14:textId="77777777" w:rsidR="00B24861" w:rsidRDefault="00B24861" w:rsidP="00B24861">
      <w:pPr>
        <w:jc w:val="left"/>
        <w:rPr>
          <w:rFonts w:eastAsia="MS Mincho"/>
          <w:i/>
        </w:rPr>
      </w:pPr>
    </w:p>
    <w:p w14:paraId="4551DC86" w14:textId="77777777" w:rsidR="00B24861" w:rsidRDefault="00B24861" w:rsidP="00B24861">
      <w:pPr>
        <w:jc w:val="left"/>
        <w:rPr>
          <w:rFonts w:eastAsia="MS Mincho"/>
          <w:i/>
        </w:rPr>
      </w:pPr>
    </w:p>
    <w:p w14:paraId="5A61EEE2" w14:textId="77777777" w:rsidR="00B24861" w:rsidRDefault="00B24861" w:rsidP="00B24861">
      <w:pPr>
        <w:jc w:val="left"/>
        <w:rPr>
          <w:rFonts w:eastAsia="MS Mincho"/>
          <w:i/>
        </w:rPr>
      </w:pPr>
    </w:p>
    <w:p w14:paraId="424EACCE" w14:textId="77777777" w:rsidR="00B24861" w:rsidRDefault="00B24861" w:rsidP="00B24861">
      <w:pPr>
        <w:jc w:val="left"/>
        <w:rPr>
          <w:rFonts w:eastAsia="MS Mincho"/>
          <w:i/>
        </w:rPr>
      </w:pPr>
    </w:p>
    <w:p w14:paraId="715B9408" w14:textId="77777777" w:rsidR="00B24861" w:rsidRDefault="00B24861" w:rsidP="00B24861">
      <w:pPr>
        <w:jc w:val="left"/>
        <w:rPr>
          <w:rFonts w:eastAsia="MS Mincho"/>
          <w:i/>
        </w:rPr>
      </w:pPr>
    </w:p>
    <w:p w14:paraId="748E4DDC" w14:textId="77777777" w:rsidR="00B24861" w:rsidRDefault="00B24861" w:rsidP="00B24861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24861" w14:paraId="0EA254A0" w14:textId="77777777" w:rsidTr="00B24861">
        <w:tc>
          <w:tcPr>
            <w:tcW w:w="4675" w:type="dxa"/>
          </w:tcPr>
          <w:p w14:paraId="4525559D" w14:textId="77777777" w:rsidR="00B24861" w:rsidRDefault="00B24861">
            <w:r>
              <w:t>Policy</w:t>
            </w:r>
          </w:p>
          <w:p w14:paraId="6A5E5B14" w14:textId="71205A48" w:rsidR="00B24861" w:rsidRDefault="00B24861">
            <w:r>
              <w:t>adopted:  October 16, 2008</w:t>
            </w:r>
          </w:p>
          <w:p w14:paraId="49E9DB49" w14:textId="529149D4" w:rsidR="00B24861" w:rsidRDefault="00B24861">
            <w:r>
              <w:t>revised:  February 28, 2024</w:t>
            </w:r>
          </w:p>
        </w:tc>
        <w:tc>
          <w:tcPr>
            <w:tcW w:w="4675" w:type="dxa"/>
          </w:tcPr>
          <w:p w14:paraId="3344704E" w14:textId="77777777" w:rsidR="00B24861" w:rsidRPr="00B24861" w:rsidRDefault="00B24861" w:rsidP="00B24861">
            <w:pPr>
              <w:jc w:val="right"/>
              <w:rPr>
                <w:b/>
                <w:bCs/>
              </w:rPr>
            </w:pPr>
            <w:r w:rsidRPr="00B24861">
              <w:rPr>
                <w:b/>
                <w:bCs/>
              </w:rPr>
              <w:t>COLLEGE AND CAREER ADVANTAGE</w:t>
            </w:r>
          </w:p>
          <w:p w14:paraId="2B8E56BD" w14:textId="01226032" w:rsidR="00B24861" w:rsidRDefault="00B24861" w:rsidP="00B24861">
            <w:pPr>
              <w:jc w:val="right"/>
            </w:pPr>
            <w:r>
              <w:t>San Juan Capistrano, California</w:t>
            </w:r>
          </w:p>
        </w:tc>
      </w:tr>
    </w:tbl>
    <w:p w14:paraId="0EFB1B14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61"/>
    <w:rsid w:val="000F231F"/>
    <w:rsid w:val="00193F37"/>
    <w:rsid w:val="00B24861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7EF84C9"/>
  <w15:chartTrackingRefBased/>
  <w15:docId w15:val="{234A838D-8EF9-4D45-90F6-651502F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61"/>
    <w:pPr>
      <w:tabs>
        <w:tab w:val="right" w:pos="9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861"/>
    <w:pPr>
      <w:keepNext/>
      <w:keepLines/>
      <w:tabs>
        <w:tab w:val="clear" w:pos="9000"/>
      </w:tabs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861"/>
    <w:pPr>
      <w:keepNext/>
      <w:keepLines/>
      <w:tabs>
        <w:tab w:val="clear" w:pos="9000"/>
      </w:tabs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861"/>
    <w:pPr>
      <w:tabs>
        <w:tab w:val="clear" w:pos="9000"/>
      </w:tabs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861"/>
    <w:pPr>
      <w:numPr>
        <w:ilvl w:val="1"/>
      </w:numPr>
      <w:tabs>
        <w:tab w:val="clear" w:pos="9000"/>
      </w:tabs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4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861"/>
    <w:pPr>
      <w:tabs>
        <w:tab w:val="clear" w:pos="9000"/>
      </w:tabs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4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861"/>
    <w:pPr>
      <w:tabs>
        <w:tab w:val="clear" w:pos="9000"/>
      </w:tabs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4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9000"/>
      </w:tabs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24861"/>
    <w:rPr>
      <w:color w:val="0000FF"/>
      <w:u w:val="single"/>
    </w:rPr>
  </w:style>
  <w:style w:type="table" w:styleId="TableGrid">
    <w:name w:val="Table Grid"/>
    <w:basedOn w:val="TableNormal"/>
    <w:uiPriority w:val="39"/>
    <w:rsid w:val="00B2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counsel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2024-02-09T16:55:00Z</dcterms:created>
  <dcterms:modified xsi:type="dcterms:W3CDTF">2024-02-09T17:18:00Z</dcterms:modified>
</cp:coreProperties>
</file>